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CEB60B" w14:textId="77777777" w:rsidR="004555BA" w:rsidRPr="004555BA" w:rsidRDefault="004555BA" w:rsidP="004555BA">
      <w:pPr>
        <w:pStyle w:val="Kategorie"/>
        <w:spacing w:before="0"/>
        <w:rPr>
          <w:rFonts w:cs="Arial"/>
        </w:rPr>
      </w:pPr>
      <w:bookmarkStart w:id="0" w:name="_GoBack"/>
      <w:bookmarkEnd w:id="0"/>
      <w:r>
        <w:t>Folha de soluções</w:t>
      </w:r>
    </w:p>
    <w:p w14:paraId="0A2AADCC" w14:textId="77777777" w:rsidR="004555BA" w:rsidRPr="004555BA" w:rsidRDefault="004555BA" w:rsidP="004555BA">
      <w:pPr>
        <w:pStyle w:val="berschrift1"/>
        <w:rPr>
          <w:rFonts w:cs="Arial"/>
        </w:rPr>
      </w:pPr>
      <w:r>
        <w:t>Cilindro de ação única, válvula solenóide</w:t>
      </w:r>
    </w:p>
    <w:p w14:paraId="225A30DF" w14:textId="77777777" w:rsidR="004555BA" w:rsidRPr="004555BA" w:rsidRDefault="004555BA" w:rsidP="004555BA">
      <w:pPr>
        <w:pStyle w:val="berschrift2"/>
        <w:rPr>
          <w:rFonts w:cs="Arial"/>
        </w:rPr>
      </w:pPr>
      <w:r>
        <w:t>Exemplo de solução da tarefa temática</w:t>
      </w:r>
    </w:p>
    <w:p w14:paraId="7911929B" w14:textId="522CD6DE" w:rsidR="004555BA" w:rsidRPr="004555BA" w:rsidRDefault="004555BA" w:rsidP="004555BA">
      <w:pPr>
        <w:rPr>
          <w:rFonts w:ascii="Arial" w:hAnsi="Arial" w:cs="Arial"/>
        </w:rPr>
      </w:pPr>
      <w:r>
        <w:rPr>
          <w:rFonts w:ascii="Arial" w:hAnsi="Arial"/>
          <w:b/>
        </w:rPr>
        <w:t xml:space="preserve">Tarefa temática 1: </w:t>
      </w:r>
      <w:r>
        <w:rPr>
          <w:rFonts w:ascii="Arial" w:hAnsi="Arial"/>
        </w:rPr>
        <w:t>A barreira se abre e fecha de maneira confiável, desde que tudo seja construído corretamente e sem problemas. Ela estará fechada quando o botão não estiver acionado, e você pode abri-la ao pressionar o botão. Assim que liberar o botão, a barreira se fecha novamente.</w:t>
      </w:r>
    </w:p>
    <w:p w14:paraId="32323BF8" w14:textId="77777777" w:rsidR="004555BA" w:rsidRPr="004555BA" w:rsidRDefault="004555BA" w:rsidP="004555BA">
      <w:pPr>
        <w:rPr>
          <w:rFonts w:ascii="Arial" w:hAnsi="Arial" w:cs="Arial"/>
        </w:rPr>
      </w:pPr>
      <w:r>
        <w:rPr>
          <w:rFonts w:ascii="Arial" w:hAnsi="Arial"/>
        </w:rPr>
        <w:t>No entanto, é desagradável que o movimento da barreira seja anormalmente rápido e "súbito".</w:t>
      </w:r>
    </w:p>
    <w:p w14:paraId="4C337614" w14:textId="77777777" w:rsidR="004555BA" w:rsidRPr="004555BA" w:rsidRDefault="004555BA" w:rsidP="004555BA">
      <w:pPr>
        <w:rPr>
          <w:rFonts w:ascii="Arial" w:hAnsi="Arial" w:cs="Arial"/>
        </w:rPr>
      </w:pPr>
      <w:r>
        <w:rPr>
          <w:rFonts w:ascii="Arial" w:hAnsi="Arial"/>
          <w:b/>
        </w:rPr>
        <w:t xml:space="preserve">Tarefa temática 2: </w:t>
      </w:r>
      <w:r>
        <w:rPr>
          <w:rFonts w:ascii="Arial" w:hAnsi="Arial"/>
        </w:rPr>
        <w:t>O centro da junta na extremidade inferior do cilindro descreve um movimento circular em torno do eixo de rotação da barreira ao movê-la. Assim, os pistões do cilindro se movem não somente na direção longitudinal, mas também transversalmente. Para que não se dobre e o modelo funcione, as juntas em ambas as extremidades são necessárias (no fundo, o módulo de articulação, no topo, o rolamento do cilindro em um eixo).</w:t>
      </w:r>
    </w:p>
    <w:p w14:paraId="20B9B19A" w14:textId="77777777" w:rsidR="0016758D" w:rsidRDefault="0016758D" w:rsidP="004555BA">
      <w:pPr>
        <w:pStyle w:val="berschrift2"/>
        <w:rPr>
          <w:rFonts w:cs="Arial"/>
        </w:rPr>
      </w:pPr>
    </w:p>
    <w:p w14:paraId="6D45C710" w14:textId="05DA3F43" w:rsidR="004555BA" w:rsidRPr="004555BA" w:rsidRDefault="004555BA" w:rsidP="004555BA">
      <w:pPr>
        <w:pStyle w:val="berschrift2"/>
        <w:rPr>
          <w:rFonts w:cs="Arial"/>
        </w:rPr>
      </w:pPr>
      <w:r>
        <w:t>Avaliação da tarefa experimental</w:t>
      </w:r>
    </w:p>
    <w:p w14:paraId="28F29CF0" w14:textId="77777777" w:rsidR="004555BA" w:rsidRPr="004555BA" w:rsidRDefault="004555BA" w:rsidP="004555BA">
      <w:pPr>
        <w:rPr>
          <w:rFonts w:ascii="Arial" w:hAnsi="Arial" w:cs="Arial"/>
        </w:rPr>
      </w:pPr>
      <w:r>
        <w:rPr>
          <w:rFonts w:ascii="Arial" w:hAnsi="Arial"/>
          <w:b/>
        </w:rPr>
        <w:t>Tarefa experimental 1:</w:t>
      </w:r>
      <w:r>
        <w:rPr>
          <w:rFonts w:ascii="Arial" w:hAnsi="Arial"/>
        </w:rPr>
        <w:t xml:space="preserve"> Assim, aceleramos o ar de alimentação e o ar de escape do cilindro. A barreira move-se mais lentamente. O efeito de estrangulamento pode ser diferente em ambas as direções de movimento, porque o reajuste é feito apenas com a força da mola.</w:t>
      </w:r>
    </w:p>
    <w:p w14:paraId="7E7B5ADB" w14:textId="77777777" w:rsidR="004555BA" w:rsidRPr="004555BA" w:rsidRDefault="004555BA" w:rsidP="004555BA">
      <w:pPr>
        <w:rPr>
          <w:rFonts w:ascii="Arial" w:hAnsi="Arial" w:cs="Arial"/>
        </w:rPr>
      </w:pPr>
      <w:r>
        <w:rPr>
          <w:rFonts w:ascii="Arial" w:hAnsi="Arial"/>
          <w:b/>
        </w:rPr>
        <w:t>Tarefa experimental 2:</w:t>
      </w:r>
      <w:r>
        <w:rPr>
          <w:rFonts w:ascii="Arial" w:hAnsi="Arial"/>
        </w:rPr>
        <w:t xml:space="preserve"> Agora o acelerador só funciona se o cilindro estiver ligado ao ar de alimentação (estrangulado). O ar de escape, por outro lado, pode fluir livremente do cilindro através da válvula para o ar livre. Somente o movimento ascendente da barreira torna-se assim mais lento, o fechamento ocorre depressa, inalterado em comparação com a variante sem acelerador.</w:t>
      </w:r>
    </w:p>
    <w:p w14:paraId="5D598230" w14:textId="77777777" w:rsidR="004555BA" w:rsidRPr="004555BA" w:rsidRDefault="004555BA" w:rsidP="004555BA">
      <w:pPr>
        <w:rPr>
          <w:rFonts w:ascii="Arial" w:hAnsi="Arial" w:cs="Arial"/>
        </w:rPr>
      </w:pPr>
      <w:r>
        <w:rPr>
          <w:rFonts w:ascii="Arial" w:hAnsi="Arial"/>
          <w:b/>
        </w:rPr>
        <w:t>Tarefa Experimental 3:</w:t>
      </w:r>
      <w:r>
        <w:rPr>
          <w:rFonts w:ascii="Arial" w:hAnsi="Arial"/>
        </w:rPr>
        <w:t xml:space="preserve"> O plugue não tem efeito ou quase não tem efeito. Resultado: A saída do pistão do cilindro de ação única não é completamente vedada intencionalmente.</w:t>
      </w:r>
    </w:p>
    <w:p w14:paraId="4DE44460" w14:textId="77777777" w:rsidR="004555BA" w:rsidRPr="004555BA" w:rsidRDefault="004555BA" w:rsidP="004555BA">
      <w:pPr>
        <w:rPr>
          <w:rFonts w:ascii="Arial" w:hAnsi="Arial" w:cs="Arial"/>
        </w:rPr>
      </w:pPr>
      <w:r>
        <w:rPr>
          <w:rFonts w:ascii="Arial" w:hAnsi="Arial"/>
        </w:rPr>
        <w:t>Isto resulta em uma maior suavidade do cilindro, de modo que a força da mola de retorno é suficiente para conduzir o cilindro de volta. No entanto, não é possível amortecer o ar de escape nesta ligação do cilindro. A ligação da mangueira dianteira do cilindro de ação única não é útil, apenas relacionada à produção.</w:t>
      </w:r>
    </w:p>
    <w:p w14:paraId="6CE065EE" w14:textId="0474D230" w:rsidR="004555BA" w:rsidRPr="004555BA" w:rsidRDefault="004555BA" w:rsidP="004555BA">
      <w:pPr>
        <w:rPr>
          <w:rFonts w:ascii="Arial" w:hAnsi="Arial" w:cs="Arial"/>
        </w:rPr>
      </w:pPr>
      <w:r>
        <w:rPr>
          <w:rFonts w:ascii="Arial" w:hAnsi="Arial"/>
          <w:b/>
        </w:rPr>
        <w:t>Tarefa Experimental 4:</w:t>
      </w:r>
      <w:r>
        <w:rPr>
          <w:rFonts w:ascii="Arial" w:hAnsi="Arial"/>
        </w:rPr>
        <w:t xml:space="preserve"> Agora mudaremos o sinal do botão, "invertendo-o". A válvula solenóide agora recebe corrente exatamente quando o botão </w:t>
      </w:r>
      <w:r>
        <w:rPr>
          <w:rFonts w:ascii="Arial" w:hAnsi="Arial"/>
          <w:i/>
        </w:rPr>
        <w:t>não</w:t>
      </w:r>
      <w:r>
        <w:rPr>
          <w:rFonts w:ascii="Arial" w:hAnsi="Arial"/>
        </w:rPr>
        <w:t xml:space="preserve"> é pressionado. Neste caso, a barreira fica normalmente aberta, e só quando e enquanto o botão for pressionado ela vai se fechar (pela mola de retorno).</w:t>
      </w:r>
    </w:p>
    <w:p w14:paraId="77B7ACA3" w14:textId="77777777" w:rsidR="00005D5B" w:rsidRPr="004555BA" w:rsidRDefault="00005D5B" w:rsidP="004555BA">
      <w:pPr>
        <w:rPr>
          <w:rFonts w:ascii="Arial" w:hAnsi="Arial" w:cs="Arial"/>
        </w:rPr>
      </w:pPr>
    </w:p>
    <w:sectPr w:rsidR="00005D5B" w:rsidRPr="004555BA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C006AE" w14:textId="77777777" w:rsidR="00D06A8D" w:rsidRDefault="00D06A8D" w:rsidP="00D06A8D">
      <w:pPr>
        <w:spacing w:after="0"/>
      </w:pPr>
      <w:r>
        <w:separator/>
      </w:r>
    </w:p>
  </w:endnote>
  <w:endnote w:type="continuationSeparator" w:id="0">
    <w:p w14:paraId="770ED6CF" w14:textId="77777777" w:rsidR="00D06A8D" w:rsidRDefault="00D06A8D" w:rsidP="00D06A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8BF0E" w14:textId="77777777" w:rsidR="00D06A8D" w:rsidRPr="00D06A8D" w:rsidRDefault="00D06A8D" w:rsidP="00D06A8D">
    <w:pPr>
      <w:pStyle w:val="Fuzeile"/>
      <w:rPr>
        <w:rFonts w:ascii="Arial" w:hAnsi="Arial" w:cs="Arial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D06A8D">
      <w:rPr>
        <w:rFonts w:ascii="Arial" w:hAnsi="Arial" w:cs="Arial"/>
      </w:rPr>
      <w:fldChar w:fldCharType="begin"/>
    </w:r>
    <w:r w:rsidRPr="00D06A8D">
      <w:rPr>
        <w:rFonts w:ascii="Arial" w:hAnsi="Arial" w:cs="Arial"/>
      </w:rPr>
      <w:instrText>PAGE   \* MERGEFORMAT</w:instrText>
    </w:r>
    <w:r w:rsidRPr="00D06A8D">
      <w:rPr>
        <w:rFonts w:ascii="Arial" w:hAnsi="Arial" w:cs="Arial"/>
      </w:rPr>
      <w:fldChar w:fldCharType="separate"/>
    </w:r>
    <w:r w:rsidR="00FE2434">
      <w:rPr>
        <w:rFonts w:ascii="Arial" w:hAnsi="Arial" w:cs="Arial"/>
        <w:noProof/>
      </w:rPr>
      <w:t>1</w:t>
    </w:r>
    <w:r w:rsidRPr="00D06A8D">
      <w:rPr>
        <w:rFonts w:ascii="Arial" w:hAnsi="Arial" w:cs="Arial"/>
      </w:rPr>
      <w:fldChar w:fldCharType="end"/>
    </w:r>
  </w:p>
  <w:p w14:paraId="00665F38" w14:textId="77777777" w:rsidR="00D06A8D" w:rsidRPr="00D06A8D" w:rsidRDefault="00D06A8D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5228B" w14:textId="77777777" w:rsidR="00D06A8D" w:rsidRDefault="00D06A8D" w:rsidP="00D06A8D">
      <w:pPr>
        <w:spacing w:after="0"/>
      </w:pPr>
      <w:r>
        <w:separator/>
      </w:r>
    </w:p>
  </w:footnote>
  <w:footnote w:type="continuationSeparator" w:id="0">
    <w:p w14:paraId="6D904F17" w14:textId="77777777" w:rsidR="00D06A8D" w:rsidRDefault="00D06A8D" w:rsidP="00D06A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927D1" w14:textId="77777777" w:rsidR="00D06A8D" w:rsidRPr="00D06A8D" w:rsidRDefault="00D06A8D" w:rsidP="00D06A8D">
    <w:pPr>
      <w:pStyle w:val="Kopfzeile"/>
      <w:rPr>
        <w:rFonts w:ascii="Arial" w:hAnsi="Arial" w:cs="Arial"/>
      </w:rPr>
    </w:pPr>
    <w:r>
      <w:rPr>
        <w:rFonts w:ascii="Arial" w:hAnsi="Arial"/>
        <w:noProof/>
        <w:lang w:val="de-DE"/>
      </w:rPr>
      <w:drawing>
        <wp:anchor distT="0" distB="0" distL="114300" distR="114300" simplePos="0" relativeHeight="251658240" behindDoc="0" locked="0" layoutInCell="1" allowOverlap="1" wp14:anchorId="40E262A6" wp14:editId="47EF5950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szCs w:val="24"/>
      </w:rPr>
      <w:t>Pneumática</w:t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noProof/>
        <w:lang w:val="de-DE"/>
      </w:rPr>
      <w:drawing>
        <wp:inline distT="0" distB="0" distL="0" distR="0" wp14:anchorId="44423831" wp14:editId="3B727962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A94B9A" w14:textId="77777777" w:rsidR="00D06A8D" w:rsidRPr="00D06A8D" w:rsidRDefault="00D06A8D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30D83"/>
    <w:multiLevelType w:val="hybridMultilevel"/>
    <w:tmpl w:val="D7E06C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5F4DAF"/>
    <w:multiLevelType w:val="hybridMultilevel"/>
    <w:tmpl w:val="36163E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A8D"/>
    <w:rsid w:val="00005D5B"/>
    <w:rsid w:val="0016758D"/>
    <w:rsid w:val="004555BA"/>
    <w:rsid w:val="00D06A8D"/>
    <w:rsid w:val="00FE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CF05D"/>
  <w15:chartTrackingRefBased/>
  <w15:docId w15:val="{24185E3D-8578-404A-9925-93101DCF7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06A8D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D06A8D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06A8D"/>
    <w:pPr>
      <w:spacing w:before="120" w:after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D06A8D"/>
    <w:rPr>
      <w:rFonts w:ascii="Arial" w:eastAsia="Times New Roman" w:hAnsi="Arial" w:cs="Times New Roman"/>
      <w:bCs/>
      <w:sz w:val="32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D06A8D"/>
    <w:rPr>
      <w:rFonts w:ascii="Arial" w:eastAsia="Times New Roman" w:hAnsi="Arial" w:cs="Times New Roman"/>
      <w:bCs/>
      <w:sz w:val="28"/>
      <w:szCs w:val="16"/>
      <w:lang w:eastAsia="de-DE"/>
    </w:rPr>
  </w:style>
  <w:style w:type="paragraph" w:customStyle="1" w:styleId="Kategorie">
    <w:name w:val="Kategorie"/>
    <w:basedOn w:val="Standard"/>
    <w:next w:val="berschrift1"/>
    <w:rsid w:val="00D06A8D"/>
    <w:pPr>
      <w:pageBreakBefore/>
      <w:spacing w:before="960" w:after="0"/>
      <w:jc w:val="left"/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D06A8D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D06A8D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D06A8D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D06A8D"/>
    <w:pPr>
      <w:tabs>
        <w:tab w:val="center" w:pos="4513"/>
        <w:tab w:val="right" w:pos="902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D06A8D"/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925161-D280-441C-8C62-75B051FD06D9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e047a197-46ab-4299-92cd-ec119e6fe81f"/>
    <ds:schemaRef ds:uri="http://purl.org/dc/dcmitype/"/>
    <ds:schemaRef ds:uri="ea79bf52-7098-41fc-8881-a3872bd99c4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0A29984-1E5C-4DE7-A738-D7254C4A57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B0A80-1FAC-4C79-9EE2-418C8A744E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Witzelmaier, Felix</dc:creator>
  <cp:keywords/>
  <dc:description/>
  <cp:lastModifiedBy>Seiler, Lisa</cp:lastModifiedBy>
  <cp:revision>2</cp:revision>
  <dcterms:created xsi:type="dcterms:W3CDTF">2021-02-24T21:11:00Z</dcterms:created>
  <dcterms:modified xsi:type="dcterms:W3CDTF">2021-02-24T21:11:00Z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